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5B" w:rsidRDefault="00925899">
      <w:r>
        <w:t>Aşağıdaki öğrencilerin</w:t>
      </w:r>
      <w:r w:rsidR="002D63B1">
        <w:t>,</w:t>
      </w:r>
      <w:r>
        <w:t xml:space="preserve"> 02 Mayıs 2019 Perşembe günü 13:15:14:00 saatleri arasında </w:t>
      </w:r>
      <w:r w:rsidR="002D63B1">
        <w:t xml:space="preserve">gerçekleştirilecek </w:t>
      </w:r>
      <w:r>
        <w:t>maz</w:t>
      </w:r>
      <w:r w:rsidR="002D63B1">
        <w:t>e</w:t>
      </w:r>
      <w:bookmarkStart w:id="0" w:name="_GoBack"/>
      <w:bookmarkEnd w:id="0"/>
      <w:r>
        <w:t>ret sınavlarına katılmaları gerekmektedir.</w:t>
      </w:r>
    </w:p>
    <w:p w:rsidR="00925899" w:rsidRDefault="00925899"/>
    <w:tbl>
      <w:tblPr>
        <w:tblW w:w="87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100"/>
        <w:gridCol w:w="2863"/>
        <w:gridCol w:w="751"/>
        <w:gridCol w:w="3443"/>
      </w:tblGrid>
      <w:tr w:rsidR="00925899" w:rsidRPr="00442568" w:rsidTr="00925899">
        <w:trPr>
          <w:trHeight w:val="255"/>
        </w:trPr>
        <w:tc>
          <w:tcPr>
            <w:tcW w:w="8753" w:type="dxa"/>
            <w:gridSpan w:val="5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</w:pP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20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eastAsia="ru-RU"/>
              </w:rPr>
              <w:t>18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-201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eastAsia="ru-RU"/>
              </w:rPr>
              <w:t>9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eastAsia="ru-RU"/>
              </w:rPr>
              <w:t>Eğitim-Öğretim Yılı Bahar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Yarıyılı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Mazeret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eastAsia="ru-RU"/>
              </w:rPr>
              <w:t>Ara S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ınavına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Girecek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Öğrenci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solid" w:color="FFFFFF" w:fill="auto"/>
                <w:lang w:val="ru-RU" w:eastAsia="ru-RU"/>
              </w:rPr>
              <w:t>Listesi</w:t>
            </w:r>
            <w:proofErr w:type="spellEnd"/>
          </w:p>
        </w:tc>
      </w:tr>
      <w:tr w:rsidR="00925899" w:rsidRPr="00442568" w:rsidTr="00925899">
        <w:trPr>
          <w:trHeight w:val="255"/>
        </w:trPr>
        <w:tc>
          <w:tcPr>
            <w:tcW w:w="596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</w:pP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S</w:t>
            </w:r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eastAsia="ru-RU"/>
              </w:rPr>
              <w:t>.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No</w:t>
            </w:r>
            <w:proofErr w:type="spellEnd"/>
          </w:p>
        </w:tc>
        <w:tc>
          <w:tcPr>
            <w:tcW w:w="1100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Öğr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eastAsia="ru-RU"/>
              </w:rPr>
              <w:t>.No</w:t>
            </w:r>
          </w:p>
        </w:tc>
        <w:tc>
          <w:tcPr>
            <w:tcW w:w="2863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Adı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Soyadı</w:t>
            </w:r>
            <w:proofErr w:type="spellEnd"/>
          </w:p>
        </w:tc>
        <w:tc>
          <w:tcPr>
            <w:tcW w:w="751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Bölümü</w:t>
            </w:r>
            <w:proofErr w:type="spellEnd"/>
          </w:p>
        </w:tc>
        <w:tc>
          <w:tcPr>
            <w:tcW w:w="3443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Dersin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Kodu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>Adı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solid" w:color="FFFFFF" w:fill="auto"/>
                <w:lang w:val="ru-RU" w:eastAsia="ru-RU"/>
              </w:rPr>
              <w:t xml:space="preserve"> </w:t>
            </w:r>
          </w:p>
        </w:tc>
      </w:tr>
      <w:tr w:rsidR="00925899" w:rsidRPr="00442568" w:rsidTr="00925899">
        <w:trPr>
          <w:trHeight w:val="255"/>
        </w:trPr>
        <w:tc>
          <w:tcPr>
            <w:tcW w:w="596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1</w:t>
            </w:r>
          </w:p>
        </w:tc>
        <w:tc>
          <w:tcPr>
            <w:tcW w:w="1100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16870003</w:t>
            </w:r>
          </w:p>
        </w:tc>
        <w:tc>
          <w:tcPr>
            <w:tcW w:w="2863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Mehmet Fatih AKSOYDAN</w:t>
            </w:r>
          </w:p>
        </w:tc>
        <w:tc>
          <w:tcPr>
            <w:tcW w:w="751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HY</w:t>
            </w:r>
          </w:p>
        </w:tc>
        <w:tc>
          <w:tcPr>
            <w:tcW w:w="3443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  <w:t>HYB 324 Araştırma Teknikleri</w:t>
            </w:r>
          </w:p>
        </w:tc>
      </w:tr>
      <w:tr w:rsidR="00925899" w:rsidRPr="00442568" w:rsidTr="00925899">
        <w:trPr>
          <w:trHeight w:val="255"/>
        </w:trPr>
        <w:tc>
          <w:tcPr>
            <w:tcW w:w="596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2</w:t>
            </w:r>
          </w:p>
        </w:tc>
        <w:tc>
          <w:tcPr>
            <w:tcW w:w="1100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17870048</w:t>
            </w:r>
          </w:p>
        </w:tc>
        <w:tc>
          <w:tcPr>
            <w:tcW w:w="2863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Bakh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r</w:t>
            </w: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iddin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ASATOV</w:t>
            </w:r>
          </w:p>
        </w:tc>
        <w:tc>
          <w:tcPr>
            <w:tcW w:w="751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HY</w:t>
            </w:r>
          </w:p>
        </w:tc>
        <w:tc>
          <w:tcPr>
            <w:tcW w:w="3443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  <w:t>HYB 108 İşletme Matematiği</w:t>
            </w:r>
          </w:p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  <w:t xml:space="preserve">HYB 202 Yer Hizmetleri ve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  <w:t>Ramp</w:t>
            </w:r>
            <w:proofErr w:type="spellEnd"/>
          </w:p>
        </w:tc>
      </w:tr>
      <w:tr w:rsidR="00925899" w:rsidRPr="00442568" w:rsidTr="00925899">
        <w:trPr>
          <w:trHeight w:val="255"/>
        </w:trPr>
        <w:tc>
          <w:tcPr>
            <w:tcW w:w="596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3</w:t>
            </w:r>
          </w:p>
        </w:tc>
        <w:tc>
          <w:tcPr>
            <w:tcW w:w="1100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18870072</w:t>
            </w:r>
          </w:p>
        </w:tc>
        <w:tc>
          <w:tcPr>
            <w:tcW w:w="2863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proofErr w:type="spellStart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Wisam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Nawar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</w:t>
            </w:r>
            <w:proofErr w:type="spellStart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Husham</w:t>
            </w:r>
            <w:proofErr w:type="spellEnd"/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 xml:space="preserve"> AL</w:t>
            </w:r>
          </w:p>
        </w:tc>
        <w:tc>
          <w:tcPr>
            <w:tcW w:w="751" w:type="dxa"/>
            <w:noWrap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bCs/>
                <w:color w:val="000000"/>
                <w:shd w:val="solid" w:color="FFFFFF" w:fill="auto"/>
                <w:lang w:eastAsia="ru-RU"/>
              </w:rPr>
              <w:t>HY</w:t>
            </w:r>
          </w:p>
        </w:tc>
        <w:tc>
          <w:tcPr>
            <w:tcW w:w="3443" w:type="dxa"/>
            <w:noWrap/>
            <w:vAlign w:val="bottom"/>
          </w:tcPr>
          <w:p w:rsidR="00925899" w:rsidRPr="00442568" w:rsidRDefault="00925899" w:rsidP="007C39C9">
            <w:pPr>
              <w:shd w:val="solid" w:color="FFFFFF" w:fill="auto"/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</w:pPr>
            <w:r w:rsidRPr="00442568">
              <w:rPr>
                <w:rFonts w:ascii="Times New Roman" w:eastAsia="Times New Roman" w:hAnsi="Times New Roman" w:cs="Times New Roman"/>
                <w:color w:val="000000"/>
                <w:shd w:val="solid" w:color="FFFFFF" w:fill="auto"/>
                <w:lang w:eastAsia="ru-RU"/>
              </w:rPr>
              <w:t>HYB 110 Finansal Yönetime Giriş</w:t>
            </w:r>
          </w:p>
        </w:tc>
      </w:tr>
    </w:tbl>
    <w:p w:rsidR="00925899" w:rsidRDefault="00925899"/>
    <w:sectPr w:rsidR="00925899" w:rsidSect="00DF0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99"/>
    <w:rsid w:val="002D63B1"/>
    <w:rsid w:val="00925899"/>
    <w:rsid w:val="00DF0AC3"/>
    <w:rsid w:val="00E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77B30"/>
  <w15:chartTrackingRefBased/>
  <w15:docId w15:val="{DAAF4A92-8DCC-654F-904A-34A3B47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2019-04-30T10:13:00Z</dcterms:created>
  <dcterms:modified xsi:type="dcterms:W3CDTF">2019-04-30T10:18:00Z</dcterms:modified>
</cp:coreProperties>
</file>